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17 января 2022 г. № 10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21.01.2022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ГЛАВА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  <w:br w:type="textWrapping"/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17 января 2022 г. № 10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назначении общественных обсуждений </w:t>
        <w:br w:type="textWrapping"/>
        <w:t xml:space="preserve">по проекту решения о предоставлении </w:t>
        <w:br w:type="textWrapping"/>
        <w:t xml:space="preserve">Быкову Денису Васильевичу разрешения </w:t>
        <w:br w:type="textWrapping"/>
        <w:t xml:space="preserve">на условно разрешенный вид использования </w:t>
        <w:br w:type="textWrapping"/>
        <w:t>земельного участка, расположенного по адресу:</w:t>
        <w:br w:type="textWrapping"/>
        <w:t>СНТ «Сосна», линия 16, уч. 817</w:t>
        <w:br w:type="textWrapping"/>
        <w:t>(кадастровый номер 36:34:0321019:13)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Быкова Дениса Васильевича, глава городского округа город Воронеж постановляет:</w:t>
        <w:br w:type="textWrapping"/>
        <w:br w:type="textWrapping"/>
        <w:t>1. Назначить с 21 января 2022 г. по 18 февраля 2022 г. общественные обсуждения по проекту решения о предоставлении Быкову Денису Васильевичу разрешения на условно разрешенный вид использования «отдельно стоящие индивидуальные жилые дома на одну, две семьи, коттеджи» земельного участка площадью 600 кв. м, расположенного по адресу: СНТ «Сосна», линия 16, уч. 817 (кадастровый номер 36:34:0321019:13), в территориальной зоне Ж 6 «Зона коллективных садов».</w:t>
        <w:br w:type="textWrapping"/>
        <w:br w:type="textWrapping"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  <w:br w:type="textWrapping"/>
        <w:br w:type="textWrapping"/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правообладатели находящихся в границах вышеуказанной территориальной зоны Ж 6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расположенному по адресу: СНТ «Сосна», линия 16, уч. 817, правообладатели земельных участков, прилегающих к земельному участку, расположенному по адресу: СНТ «Сосна», линия 16, уч. 817, или расположенных на них объектов капитального строительства, а также жители, являющиеся правообладателями земельных участков и объектов капитального строительства, подверженных риску негативного воздействия, вызванного условно разрешенным видом использования указанного земельного участка, в случае если условно разрешенный вид использования данного земельного участка может оказать негативное воздействие на окружающую среду.</w:t>
        <w:br w:type="textWrapping"/>
        <w:br w:type="textWrapping"/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  <w:br w:type="textWrapping"/>
        <w:br w:type="textWrapping"/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  <w:br w:type="textWrapping"/>
        <w:br w:type="textWrapping"/>
        <w:t xml:space="preserve"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или информационном ресурсе, а также в письменной форме или в форме электронного документа в адрес Рабочего органа. </w:t>
        <w:br w:type="textWrapping"/>
        <w:br w:type="textWrapping"/>
        <w:t>6. Рабочему органу:</w:t>
        <w:br w:type="textWrapping"/>
        <w:br w:type="textWrapping"/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 информационного ресурса.</w:t>
        <w:br w:type="textWrapping"/>
        <w:br w:type="textWrapping"/>
        <w:t>6.2. В срок до 18 февраля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  <w:br w:type="textWrapping"/>
        <w:br w:type="textWrapping"/>
        <w:t>7. Управлению информации администрации городского округа город Воронеж:</w:t>
        <w:br w:type="textWrapping"/>
        <w:br w:type="textWrapping"/>
        <w:t>7.1. Опубликовать в установленном порядке настоящее постановление, приложение (оповещение о начале общественных обсуждений) к нему.</w:t>
        <w:br w:type="textWrapping"/>
        <w:br w:type="textWrapping"/>
        <w:t>7.2. Дополнительно разместить указанные акты на официальных сайтах администрации городского округа город Воронеж (</w:t>
      </w:r>
      <w:hyperlink xmlns:r="http://schemas.openxmlformats.org/officeDocument/2006/relationships" r:id="R2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http://www.voronezh-city.ru</w:t>
        </w:r>
      </w:hyperlink>
      <w:r>
        <w:rPr>
          <w:rFonts w:ascii="Verdana" w:hAnsi="Verdana"/>
          <w:sz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xmlns:r="http://schemas.openxmlformats.org/officeDocument/2006/relationships" r:id="R3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http://uga.voronezh-city.ru/</w:t>
        </w:r>
      </w:hyperlink>
      <w:r>
        <w:rPr>
          <w:rFonts w:ascii="Verdana" w:hAnsi="Verdana"/>
          <w:sz w:val="20"/>
          <w:shd w:val="clear" w:color="auto" w:fill="FFFFFF"/>
        </w:rPr>
        <w:t>), а также на сайте «Активный электронный гражданин» в сети Интернет.</w:t>
        <w:br w:type="textWrapping"/>
        <w:br w:type="textWrapping"/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br w:type="textWrapping"/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r>
        <w:rPr>
          <w:rFonts w:ascii="Verdana" w:hAnsi="Verdana"/>
          <w:sz w:val="20"/>
          <w:shd w:val="clear" w:color="auto" w:fill="FFFFFF"/>
        </w:rPr>
        <w:br w:type="textWrapping"/>
      </w:r>
    </w:p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2" Type="http://schemas.openxmlformats.org/officeDocument/2006/relationships/hyperlink" Target="http://www.voronezh-city.ru/" TargetMode="External" /><Relationship Id="R3" Type="http://schemas.openxmlformats.org/officeDocument/2006/relationships/hyperlink" Target="http://uga.voronezh-city.ru/" TargetMode="External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2025-10-25T11:30:35Z</dcterms:modified>
  <cp:revision>38</cp:revision>
</cp:coreProperties>
</file>